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5B4" w:rsidRPr="00DB7DEB" w:rsidRDefault="008825B4" w:rsidP="008825B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DB7DEB">
        <w:rPr>
          <w:rFonts w:asciiTheme="minorHAnsi" w:hAnsiTheme="minorHAnsi" w:cstheme="minorHAnsi"/>
          <w:b/>
          <w:sz w:val="22"/>
          <w:szCs w:val="22"/>
        </w:rPr>
        <w:t xml:space="preserve">Martin, T., 2017. </w:t>
      </w:r>
      <w:r w:rsidRPr="00DB7DEB">
        <w:rPr>
          <w:rFonts w:asciiTheme="minorHAnsi" w:hAnsiTheme="minorHAnsi" w:cstheme="minorHAnsi"/>
          <w:b/>
          <w:i/>
          <w:iCs/>
          <w:sz w:val="22"/>
          <w:szCs w:val="22"/>
        </w:rPr>
        <w:t>Valorisation des urines humaines comme source d’azote pour les plantes : une expérimentation en serre.</w:t>
      </w:r>
      <w:r w:rsidRPr="00DB7DEB">
        <w:rPr>
          <w:rFonts w:asciiTheme="minorHAnsi" w:hAnsiTheme="minorHAnsi" w:cstheme="minorHAnsi"/>
          <w:b/>
          <w:sz w:val="22"/>
          <w:szCs w:val="22"/>
        </w:rPr>
        <w:t xml:space="preserve"> Rapport de Master 2 Systèmes Aquatiques et Gestion de l’Eau. Institut National de la Recherche Agronomique &amp; École Nationale des Ponts et Chaussées</w:t>
      </w:r>
    </w:p>
    <w:p w:rsidR="008825B4" w:rsidRDefault="008825B4" w:rsidP="008825B4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B7DEB">
        <w:rPr>
          <w:rFonts w:asciiTheme="minorHAnsi" w:hAnsiTheme="minorHAnsi" w:cstheme="minorHAnsi"/>
          <w:color w:val="000000"/>
          <w:sz w:val="22"/>
          <w:szCs w:val="22"/>
        </w:rPr>
        <w:t>La séparation à la source des urines est un paradigme prometteur pour la transition énergétique et</w:t>
      </w:r>
      <w:r w:rsidRPr="00DB7DEB">
        <w:rPr>
          <w:rFonts w:asciiTheme="minorHAnsi" w:hAnsiTheme="minorHAnsi" w:cstheme="minorHAnsi"/>
          <w:color w:val="000000"/>
          <w:sz w:val="22"/>
          <w:szCs w:val="22"/>
        </w:rPr>
        <w:br/>
        <w:t>écologique ainsi que le développement d’un métabolisme urbain durable. Aujourd’hui, le recyclage</w:t>
      </w:r>
      <w:r w:rsidRPr="00DB7DEB">
        <w:rPr>
          <w:rFonts w:asciiTheme="minorHAnsi" w:hAnsiTheme="minorHAnsi" w:cstheme="minorHAnsi"/>
          <w:color w:val="000000"/>
          <w:sz w:val="22"/>
          <w:szCs w:val="22"/>
        </w:rPr>
        <w:br/>
        <w:t>des nutriments des eaux usées est faible, seulement 4 % de l’azote et 41 % du phosphore présents</w:t>
      </w:r>
      <w:r w:rsidRPr="00DB7DEB">
        <w:rPr>
          <w:rFonts w:asciiTheme="minorHAnsi" w:hAnsiTheme="minorHAnsi" w:cstheme="minorHAnsi"/>
          <w:color w:val="000000"/>
          <w:sz w:val="22"/>
          <w:szCs w:val="22"/>
        </w:rPr>
        <w:br/>
        <w:t>dans les eaux usées de la région parisienne sont actuellement recyclés alors que la consommation en</w:t>
      </w:r>
      <w:r w:rsidRPr="00DB7DEB">
        <w:rPr>
          <w:rFonts w:asciiTheme="minorHAnsi" w:hAnsiTheme="minorHAnsi" w:cstheme="minorHAnsi"/>
          <w:color w:val="000000"/>
          <w:sz w:val="22"/>
          <w:szCs w:val="22"/>
        </w:rPr>
        <w:br/>
        <w:t>engrais azotés francilienne pourrait être couverte par les excrétions de l’agglomération parisienne.</w:t>
      </w:r>
      <w:r w:rsidRPr="00DB7DEB">
        <w:rPr>
          <w:rFonts w:asciiTheme="minorHAnsi" w:hAnsiTheme="minorHAnsi" w:cstheme="minorHAnsi"/>
          <w:color w:val="000000"/>
          <w:sz w:val="22"/>
          <w:szCs w:val="22"/>
        </w:rPr>
        <w:br/>
        <w:t>Cette valorisation est notamment possible via les urines, qui comportent la majeure partie de ces</w:t>
      </w:r>
      <w:r w:rsidRPr="00DB7DEB">
        <w:rPr>
          <w:rFonts w:asciiTheme="minorHAnsi" w:hAnsiTheme="minorHAnsi" w:cstheme="minorHAnsi"/>
          <w:color w:val="000000"/>
          <w:sz w:val="22"/>
          <w:szCs w:val="22"/>
        </w:rPr>
        <w:br/>
        <w:t>nutriments (75 % de la charge en azote des eaux usées domestiques) et qui de plus, sont peu</w:t>
      </w:r>
      <w:r w:rsidRPr="00DB7DEB">
        <w:rPr>
          <w:rFonts w:asciiTheme="minorHAnsi" w:hAnsiTheme="minorHAnsi" w:cstheme="minorHAnsi"/>
          <w:color w:val="000000"/>
          <w:sz w:val="22"/>
          <w:szCs w:val="22"/>
        </w:rPr>
        <w:br/>
        <w:t>chargées en polluants. Ce projet participe au développement de filières de valorisation de produits</w:t>
      </w:r>
      <w:r w:rsidRPr="00DB7DEB">
        <w:rPr>
          <w:rFonts w:asciiTheme="minorHAnsi" w:hAnsiTheme="minorHAnsi" w:cstheme="minorHAnsi"/>
          <w:color w:val="000000"/>
          <w:sz w:val="22"/>
          <w:szCs w:val="22"/>
        </w:rPr>
        <w:br/>
        <w:t>issus de techniques alternatives d’assainissement et a pour objectif de caractériser l’intérêt</w:t>
      </w:r>
      <w:r w:rsidRPr="00DB7DEB">
        <w:rPr>
          <w:rFonts w:asciiTheme="minorHAnsi" w:hAnsiTheme="minorHAnsi" w:cstheme="minorHAnsi"/>
          <w:color w:val="000000"/>
          <w:sz w:val="22"/>
          <w:szCs w:val="22"/>
        </w:rPr>
        <w:br/>
        <w:t>agronomique des produits. Pour cela, une expérimentation en serre a été menée. Cette</w:t>
      </w:r>
      <w:r w:rsidRPr="00DB7DEB">
        <w:rPr>
          <w:rFonts w:asciiTheme="minorHAnsi" w:hAnsiTheme="minorHAnsi" w:cstheme="minorHAnsi"/>
          <w:color w:val="000000"/>
          <w:sz w:val="22"/>
          <w:szCs w:val="22"/>
        </w:rPr>
        <w:br/>
        <w:t>expérimentation comprend deux sous-essais menés en parallèle. Le premier sous-essai (comprenant</w:t>
      </w:r>
      <w:r w:rsidRPr="00DB7DEB">
        <w:rPr>
          <w:rFonts w:asciiTheme="minorHAnsi" w:hAnsiTheme="minorHAnsi" w:cstheme="minorHAnsi"/>
          <w:color w:val="000000"/>
          <w:sz w:val="22"/>
          <w:szCs w:val="22"/>
        </w:rPr>
        <w:br/>
        <w:t>des pots non semés) a permis d’étudier les phénomènes de minéralisation ou d’organisation de</w:t>
      </w:r>
      <w:r w:rsidRPr="00DB7DEB">
        <w:rPr>
          <w:rFonts w:asciiTheme="minorHAnsi" w:hAnsiTheme="minorHAnsi" w:cstheme="minorHAnsi"/>
          <w:color w:val="000000"/>
          <w:sz w:val="22"/>
          <w:szCs w:val="22"/>
        </w:rPr>
        <w:br/>
        <w:t>l’azote apporté par les produits. Le second sous-essai (comprenant des pots semés avec du ray-grass)</w:t>
      </w:r>
      <w:r w:rsidRPr="00DB7DEB">
        <w:rPr>
          <w:rFonts w:asciiTheme="minorHAnsi" w:hAnsiTheme="minorHAnsi" w:cstheme="minorHAnsi"/>
          <w:color w:val="000000"/>
          <w:sz w:val="22"/>
          <w:szCs w:val="22"/>
        </w:rPr>
        <w:br/>
        <w:t>a permis de comparer l’efficacité des produits issus de techniques alternatives utilisés en tant que</w:t>
      </w:r>
      <w:r w:rsidRPr="00DB7DEB">
        <w:rPr>
          <w:rFonts w:asciiTheme="minorHAnsi" w:hAnsiTheme="minorHAnsi" w:cstheme="minorHAnsi"/>
          <w:color w:val="000000"/>
          <w:sz w:val="22"/>
          <w:szCs w:val="22"/>
        </w:rPr>
        <w:br/>
        <w:t>source d’azote pour les plantes, en comparaison à celle d’engrais minéral ou d’engrais ou</w:t>
      </w:r>
      <w:r w:rsidRPr="00DB7DEB">
        <w:rPr>
          <w:rFonts w:asciiTheme="minorHAnsi" w:hAnsiTheme="minorHAnsi" w:cstheme="minorHAnsi"/>
          <w:color w:val="000000"/>
          <w:sz w:val="22"/>
          <w:szCs w:val="22"/>
        </w:rPr>
        <w:br/>
        <w:t>amendement organique. Nous avons pu démontrer dans les conditions précises de l’expérimentation</w:t>
      </w:r>
      <w:r w:rsidRPr="00DB7DEB">
        <w:rPr>
          <w:rFonts w:asciiTheme="minorHAnsi" w:hAnsiTheme="minorHAnsi" w:cstheme="minorHAnsi"/>
          <w:color w:val="000000"/>
          <w:sz w:val="22"/>
          <w:szCs w:val="22"/>
        </w:rPr>
        <w:br/>
        <w:t>que l’efficacité des urines brutes ou traitées (nitrifiées et concentrées) est proche de celle d’un</w:t>
      </w:r>
      <w:r w:rsidRPr="00DB7DEB">
        <w:rPr>
          <w:rFonts w:asciiTheme="minorHAnsi" w:hAnsiTheme="minorHAnsi" w:cstheme="minorHAnsi"/>
          <w:color w:val="000000"/>
          <w:sz w:val="22"/>
          <w:szCs w:val="22"/>
        </w:rPr>
        <w:br/>
        <w:t>engrais minéral, et que le caractère minéral de ces produits permet une assimilation de l’azote</w:t>
      </w:r>
      <w:r w:rsidRPr="00DB7DEB">
        <w:rPr>
          <w:rFonts w:asciiTheme="minorHAnsi" w:hAnsiTheme="minorHAnsi" w:cstheme="minorHAnsi"/>
          <w:color w:val="000000"/>
          <w:sz w:val="22"/>
          <w:szCs w:val="22"/>
        </w:rPr>
        <w:br/>
        <w:t>supérieure à un engrais organique classique (lisier bovins). L’apport supplémentaire de nutriments</w:t>
      </w:r>
      <w:r w:rsidRPr="00DB7DEB">
        <w:rPr>
          <w:rFonts w:asciiTheme="minorHAnsi" w:hAnsiTheme="minorHAnsi" w:cstheme="minorHAnsi"/>
          <w:color w:val="000000"/>
          <w:sz w:val="22"/>
          <w:szCs w:val="22"/>
        </w:rPr>
        <w:br/>
        <w:t>autres que l’azote (0,6 [urine] à 1,6 [aurin] unité de phosphore et 3,5 [urine] à 7,6 [aurin] unités de</w:t>
      </w:r>
      <w:r w:rsidRPr="00DB7DEB">
        <w:rPr>
          <w:rFonts w:asciiTheme="minorHAnsi" w:hAnsiTheme="minorHAnsi" w:cstheme="minorHAnsi"/>
          <w:color w:val="000000"/>
          <w:sz w:val="22"/>
          <w:szCs w:val="22"/>
        </w:rPr>
        <w:br/>
        <w:t>potassium pour 10 unités d’azote) pourrait permettre une meilleure production végétale pour des</w:t>
      </w:r>
      <w:r w:rsidRPr="00DB7DEB">
        <w:rPr>
          <w:rFonts w:asciiTheme="minorHAnsi" w:hAnsiTheme="minorHAnsi" w:cstheme="minorHAnsi"/>
          <w:color w:val="000000"/>
          <w:sz w:val="22"/>
          <w:szCs w:val="22"/>
        </w:rPr>
        <w:br/>
        <w:t>apports en azote équivalents à un engrais azoté dans les sols légèrement déficitaires en nutriments.</w:t>
      </w:r>
      <w:r w:rsidRPr="00DB7DEB">
        <w:rPr>
          <w:rFonts w:asciiTheme="minorHAnsi" w:hAnsiTheme="minorHAnsi" w:cstheme="minorHAnsi"/>
          <w:color w:val="000000"/>
          <w:sz w:val="22"/>
          <w:szCs w:val="22"/>
        </w:rPr>
        <w:br/>
        <w:t>L’efficacité du mélange compost et urine est légèrement moindre du fait d’une organisation d’une</w:t>
      </w:r>
      <w:r w:rsidRPr="00DB7DEB">
        <w:rPr>
          <w:rFonts w:asciiTheme="minorHAnsi" w:hAnsiTheme="minorHAnsi" w:cstheme="minorHAnsi"/>
          <w:color w:val="000000"/>
          <w:sz w:val="22"/>
          <w:szCs w:val="22"/>
        </w:rPr>
        <w:br/>
        <w:t>partie de l’azote minéral de l’urine, mais reste très bonne (80 % de celle d’un engrais minéral) en plus</w:t>
      </w:r>
      <w:r w:rsidRPr="00DB7DEB">
        <w:rPr>
          <w:rFonts w:asciiTheme="minorHAnsi" w:hAnsiTheme="minorHAnsi" w:cstheme="minorHAnsi"/>
          <w:color w:val="000000"/>
          <w:sz w:val="22"/>
          <w:szCs w:val="22"/>
        </w:rPr>
        <w:br/>
        <w:t>d’être un bon amendement pour les sols. Nous concluons que les PRO à base d’urine sont une</w:t>
      </w:r>
      <w:r w:rsidRPr="00DB7DEB">
        <w:rPr>
          <w:rFonts w:asciiTheme="minorHAnsi" w:hAnsiTheme="minorHAnsi" w:cstheme="minorHAnsi"/>
          <w:color w:val="000000"/>
          <w:sz w:val="22"/>
          <w:szCs w:val="22"/>
        </w:rPr>
        <w:br/>
        <w:t>solution prometteuse en substitution aux engrais minéraux azotés en agriculture, et qui permettrait</w:t>
      </w:r>
      <w:r w:rsidRPr="00DB7DEB">
        <w:rPr>
          <w:rFonts w:asciiTheme="minorHAnsi" w:hAnsiTheme="minorHAnsi" w:cstheme="minorHAnsi"/>
          <w:color w:val="000000"/>
          <w:sz w:val="22"/>
          <w:szCs w:val="22"/>
        </w:rPr>
        <w:br/>
        <w:t>également des diminutions des consommations d’énergie et des émissions de gaz à effet de serre (au</w:t>
      </w:r>
      <w:r w:rsidRPr="00DB7DEB">
        <w:rPr>
          <w:rFonts w:asciiTheme="minorHAnsi" w:hAnsiTheme="minorHAnsi" w:cstheme="minorHAnsi"/>
          <w:color w:val="000000"/>
          <w:sz w:val="22"/>
          <w:szCs w:val="22"/>
        </w:rPr>
        <w:br/>
        <w:t>niveau de la production d’engrais et des stations d’épuration des eaux usées) et une amélioration de</w:t>
      </w:r>
      <w:r w:rsidRPr="00DB7DEB">
        <w:rPr>
          <w:rFonts w:asciiTheme="minorHAnsi" w:hAnsiTheme="minorHAnsi" w:cstheme="minorHAnsi"/>
          <w:color w:val="000000"/>
          <w:sz w:val="22"/>
          <w:szCs w:val="22"/>
        </w:rPr>
        <w:br/>
        <w:t>la qualité des eaux réceptrices des rejets de station d’épuration.</w:t>
      </w:r>
    </w:p>
    <w:p w:rsidR="00AE395B" w:rsidRDefault="00CE51BC"/>
    <w:sectPr w:rsidR="00AE3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5B4"/>
    <w:rsid w:val="008825B4"/>
    <w:rsid w:val="00AF7DF0"/>
    <w:rsid w:val="00CE51BC"/>
    <w:rsid w:val="00F3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8AB01-AFDC-4355-B77D-4B92AF321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82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471</Words>
  <Characters>2596</Characters>
  <Application>Microsoft Office Word</Application>
  <DocSecurity>4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Ecole des ponts Paristech</Company>
  <LinksUpToDate>false</LinksUpToDate>
  <CharactersWithSpaces>3061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LEGRAND</dc:creator>
  <cp:keywords/>
  <dc:description/>
  <cp:lastModifiedBy>Daniel</cp:lastModifiedBy>
  <cp:revision>2</cp:revision>
  <dcterms:created xsi:type="dcterms:W3CDTF">2018-07-09T10:25:00Z</dcterms:created>
  <dcterms:modified xsi:type="dcterms:W3CDTF">2018-07-09T10:25:00Z</dcterms:modified>
</cp:coreProperties>
</file>